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Правовое обеспечение в сфере оценочной деятельности</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«Правовое обеспечение в сфере оценочной 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«Правовое обеспечение в сфере оценочной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«Правовое обеспечение в сфере оценочной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стоимость движимого и недвижимого имущества, прав, работ и услуг, связанных с объектами недвижимости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нормативные правовые акты в области оценочной деятельности, основы гражданского законодательства РФ, основы налогового законодательства РФ, понятие и классификация гражданских прав, основы земельного законодательства РФ, стандарты, правила и методология определения стоимостей, соответствующую судебную практику</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использовать в работе нормативные правовые акты в области оценочной деятельности, основы гражданского законодательства РФ, основы налогового законодательства РФ, понятие и классификация гражданских прав, основы земельного законодательства РФ, стандарты, правила и методология определения стоимостей, соответствующую судебную практику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владеть навыками изучения и анализа правоустанавливающих документов на недвижимое имущество</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владеть навыками анализа информации о движимом и недвижимом имуществе и совокупности прав на него</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ПК-2.28 владеть навыками установления технических и правовых параметров, влияющих на стоимость движимого и недвижимого имущества</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439.824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исходя из действующих правовых норм, имеющихся ресурсов и ограничений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«Правовое обеспечение в сфере оценочной деятельности» относится к обязательной части, является дисциплиной Блока Б1. «Дисциплины (модули)». Модуль "Определение стоимости движимого и недвижимого имущества, прав, работ и услуг, связанных с объектами недвижимости"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Оценка машин, оборудования и транспортных средств</w:t>
            </w:r>
          </w:p>
          <w:p>
            <w:pPr>
              <w:jc w:val="center"/>
              <w:spacing w:after="0" w:line="240" w:lineRule="auto"/>
              <w:rPr>
                <w:sz w:val="22"/>
                <w:szCs w:val="22"/>
              </w:rPr>
            </w:pPr>
            <w:r>
              <w:rPr>
                <w:rFonts w:ascii="Times New Roman" w:hAnsi="Times New Roman" w:cs="Times New Roman"/>
                <w:color w:val="#000000"/>
                <w:sz w:val="22"/>
                <w:szCs w:val="22"/>
              </w:rPr>
              <w:t> Правовое обеспечение формирования и оценки стоимости организации</w:t>
            </w:r>
          </w:p>
          <w:p>
            <w:pPr>
              <w:jc w:val="center"/>
              <w:spacing w:after="0" w:line="240" w:lineRule="auto"/>
              <w:rPr>
                <w:sz w:val="22"/>
                <w:szCs w:val="22"/>
              </w:rPr>
            </w:pPr>
            <w:r>
              <w:rPr>
                <w:rFonts w:ascii="Times New Roman" w:hAnsi="Times New Roman" w:cs="Times New Roman"/>
                <w:color w:val="#000000"/>
                <w:sz w:val="22"/>
                <w:szCs w:val="22"/>
              </w:rPr>
              <w:t> Оценка рыночной стоимости организации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Правовое обеспечение формирования и обращения имущества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Развитие института оценки объектов недвижимости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Правовое обеспечение оценки собственности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Федеральные стандарты оценки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Система правового обеспечения оценщиков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Условия заключения и исполнения договоров об оценке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Правовое обеспечение формирования и обращения имущества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Развитие института оценки объектов недвижимости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Правовое обеспечение оценки собственности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Федеральные стандарты оценки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Система правового обеспечения оценщиков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Условия заключения и исполнения договоров об оценке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083.3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Правовое обеспечение формирования и обращения имущества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Собственность как экономическая категория. Правовые формы собственности. Приобретение и прекращение прав собственности. Виды прав собственности на имущество. Порядок формирования и обращения имущества. Правовые особенности формирования и обращения имущества в рыночной среде. Особенности правового регулирования формирования и обращения имущества в Российской Федерации.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Развитие института оценки объектов недвижимости в РФ</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правового регулирования оценки недвижимости. Сущность оценочной деятельности и специфика её правового регулирования. Понятие кадастровой стоимости. Понятие рыночной стоимости недвижимости. Подходы и методы расчета стоимости объектов недвижимости. Отличие порядка установления кадастровой стоимости от рыночной стоимости объектов оценки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Правовое обеспечение оценки собственности в Российской Федерации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законодательных и подзаконных нормативных актов, регулирующих оценочную деятельность в РФ. Основополагающие акты и нормативные документы, регулирующие оценочную деятельность в Российской Федерации. Федеральный закон от 29.07.1998 г. «Об оценочной деятельности в Российской Федерации». Контроль за осуществлением оценочной деятельности в РФ. Правовое обеспечение проведения оценочных работ. Требования к осуществлению оценочной деятельности. Государственно-властное регулирование и контроль в сфере оценочной деятельности.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Федеральные стандарты оценки</w:t>
            </w:r>
          </w:p>
        </w:tc>
      </w:tr>
      <w:tr>
        <w:trPr>
          <w:trHeight w:hRule="exact" w:val="1667.2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положения федерального стандарта ФСО.</w:t>
            </w:r>
          </w:p>
          <w:p>
            <w:pPr>
              <w:jc w:val="both"/>
              <w:spacing w:after="0" w:line="240" w:lineRule="auto"/>
              <w:rPr>
                <w:sz w:val="24"/>
                <w:szCs w:val="24"/>
              </w:rPr>
            </w:pPr>
            <w:r>
              <w:rPr>
                <w:rFonts w:ascii="Times New Roman" w:hAnsi="Times New Roman" w:cs="Times New Roman"/>
                <w:color w:val="#000000"/>
                <w:sz w:val="24"/>
                <w:szCs w:val="24"/>
              </w:rPr>
              <w:t> 1. Общие понятия оценки. Подходы к оценке. Требования к проведению оценки. Основные положения федерального стандарта ФСО</w:t>
            </w:r>
          </w:p>
          <w:p>
            <w:pPr>
              <w:jc w:val="both"/>
              <w:spacing w:after="0" w:line="240" w:lineRule="auto"/>
              <w:rPr>
                <w:sz w:val="24"/>
                <w:szCs w:val="24"/>
              </w:rPr>
            </w:pPr>
            <w:r>
              <w:rPr>
                <w:rFonts w:ascii="Times New Roman" w:hAnsi="Times New Roman" w:cs="Times New Roman"/>
                <w:color w:val="#000000"/>
                <w:sz w:val="24"/>
                <w:szCs w:val="24"/>
              </w:rPr>
              <w:t>  2. Цель оценки и предполагаемое использование результатов оценки. Виды стоимости. Основные положения федерального стандарта ФСО</w:t>
            </w:r>
          </w:p>
          <w:p>
            <w:pPr>
              <w:jc w:val="both"/>
              <w:spacing w:after="0" w:line="240" w:lineRule="auto"/>
              <w:rPr>
                <w:sz w:val="24"/>
                <w:szCs w:val="24"/>
              </w:rPr>
            </w:pPr>
            <w:r>
              <w:rPr>
                <w:rFonts w:ascii="Times New Roman" w:hAnsi="Times New Roman" w:cs="Times New Roman"/>
                <w:color w:val="#000000"/>
                <w:sz w:val="24"/>
                <w:szCs w:val="24"/>
              </w:rPr>
              <w:t> 3. Требования к составлению отчета об оценке. Требования к содержанию отчета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оценке. Требования к описанию в отчете об оценке информации, используемой при проведении оценки. Основные положения федерального стандарта ФСО</w:t>
            </w:r>
          </w:p>
          <w:p>
            <w:pPr>
              <w:jc w:val="both"/>
              <w:spacing w:after="0" w:line="240" w:lineRule="auto"/>
              <w:rPr>
                <w:sz w:val="24"/>
                <w:szCs w:val="24"/>
              </w:rPr>
            </w:pPr>
            <w:r>
              <w:rPr>
                <w:rFonts w:ascii="Times New Roman" w:hAnsi="Times New Roman" w:cs="Times New Roman"/>
                <w:color w:val="#000000"/>
                <w:sz w:val="24"/>
                <w:szCs w:val="24"/>
              </w:rPr>
              <w:t> 4. Общие требования к определению кадастровой стоимости. Сбор сведений о значениях ценообразующих факторов и рыночной информации. Группировка объектов оценки. Построение моделей оценки. Порядок расчета кадастровой стоимости объектов оценки. Основные положения федерального стандарта ФСО</w:t>
            </w:r>
          </w:p>
          <w:p>
            <w:pPr>
              <w:jc w:val="both"/>
              <w:spacing w:after="0" w:line="240" w:lineRule="auto"/>
              <w:rPr>
                <w:sz w:val="24"/>
                <w:szCs w:val="24"/>
              </w:rPr>
            </w:pPr>
            <w:r>
              <w:rPr>
                <w:rFonts w:ascii="Times New Roman" w:hAnsi="Times New Roman" w:cs="Times New Roman"/>
                <w:color w:val="#000000"/>
                <w:sz w:val="24"/>
                <w:szCs w:val="24"/>
              </w:rPr>
              <w:t> 5. Виды экспертизы и отчета об оценке. Порядок проведения экспертизы. Требования к экспертному заключению, Требования к порядку утверждения экспертного заключения. Основные положения федерального стандарта ФСО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Система правового обеспечения оценщиков</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Регулирование деятельности оценщика саморегулируемыми организациями оценщиков. Субъекты оценочной деятельности. Принципы оценочной деятельности (оценщик, юридического лица занимающегося оценочной деятельностью, саморегулируемой организацией оценщиков, заказчики (потребители) оценочных услуг). Соотношение правового положения оценщика с правовым положением аудитора, частнопрактикующего нотариуса и адвоката.</w:t>
            </w:r>
          </w:p>
          <w:p>
            <w:pPr>
              <w:jc w:val="both"/>
              <w:spacing w:after="0" w:line="240" w:lineRule="auto"/>
              <w:rPr>
                <w:sz w:val="24"/>
                <w:szCs w:val="24"/>
              </w:rPr>
            </w:pPr>
            <w:r>
              <w:rPr>
                <w:rFonts w:ascii="Times New Roman" w:hAnsi="Times New Roman" w:cs="Times New Roman"/>
                <w:color w:val="#000000"/>
                <w:sz w:val="24"/>
                <w:szCs w:val="24"/>
              </w:rPr>
              <w:t> Оценочные услуги. Добровольная и обязательная оценка. Аккредитация оценщика. Права и обязанности сторон. Оценка по решению уполномоченного органа. Кадастровая оценка, для целей налогообложения. Критерии уровня знаний эксперта саморегулируемой организации оценщиков (СРОО). Требования к уровню знаний эксперта СРОО.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Условия заключения и исполнения договоров об оценке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природа договора об оценке имущества. Заключение договора об оценке имущества. Необходимые документы предоставляемые оценщику заказчиком (в зависимости от объекта оценки) Стороны договора об оценке имущества. Права и обязанности сторон. Конфликт интересов. Обязательные условия заключения и исполнения договора об оценке. Исполнение договора об оценке имущества и ответственность за его нарушение. Структура и основные положения договора оценщика с заказчиком.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Правовое обеспечение формирования и обращения имущества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Собственность как экономическая категория. Правовые формы собственности.</w:t>
            </w:r>
          </w:p>
          <w:p>
            <w:pPr>
              <w:jc w:val="left"/>
              <w:spacing w:after="0" w:line="240" w:lineRule="auto"/>
              <w:rPr>
                <w:sz w:val="24"/>
                <w:szCs w:val="24"/>
              </w:rPr>
            </w:pPr>
            <w:r>
              <w:rPr>
                <w:rFonts w:ascii="Times New Roman" w:hAnsi="Times New Roman" w:cs="Times New Roman"/>
                <w:color w:val="#000000"/>
                <w:sz w:val="24"/>
                <w:szCs w:val="24"/>
              </w:rPr>
              <w:t> 2.	Приобретение и прекращение прав собственности. Виды прав собственности на имущество.</w:t>
            </w:r>
          </w:p>
          <w:p>
            <w:pPr>
              <w:jc w:val="left"/>
              <w:spacing w:after="0" w:line="240" w:lineRule="auto"/>
              <w:rPr>
                <w:sz w:val="24"/>
                <w:szCs w:val="24"/>
              </w:rPr>
            </w:pPr>
            <w:r>
              <w:rPr>
                <w:rFonts w:ascii="Times New Roman" w:hAnsi="Times New Roman" w:cs="Times New Roman"/>
                <w:color w:val="#000000"/>
                <w:sz w:val="24"/>
                <w:szCs w:val="24"/>
              </w:rPr>
              <w:t> 3.	Порядок формирования и обращения имущества. Правовые особенности формирования и обращения имущества.</w:t>
            </w:r>
          </w:p>
          <w:p>
            <w:pPr>
              <w:jc w:val="left"/>
              <w:spacing w:after="0" w:line="240" w:lineRule="auto"/>
              <w:rPr>
                <w:sz w:val="24"/>
                <w:szCs w:val="24"/>
              </w:rPr>
            </w:pPr>
            <w:r>
              <w:rPr>
                <w:rFonts w:ascii="Times New Roman" w:hAnsi="Times New Roman" w:cs="Times New Roman"/>
                <w:color w:val="#000000"/>
                <w:sz w:val="24"/>
                <w:szCs w:val="24"/>
              </w:rPr>
              <w:t> 4.	Особенности правового регулирования формирования и обращения имущества в Российской Федерации.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Развитие института оценки объектов недвижимости в РФ</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Становление правового регулирования оценки недвижимости.</w:t>
            </w:r>
          </w:p>
          <w:p>
            <w:pPr>
              <w:jc w:val="left"/>
              <w:spacing w:after="0" w:line="240" w:lineRule="auto"/>
              <w:rPr>
                <w:sz w:val="24"/>
                <w:szCs w:val="24"/>
              </w:rPr>
            </w:pPr>
            <w:r>
              <w:rPr>
                <w:rFonts w:ascii="Times New Roman" w:hAnsi="Times New Roman" w:cs="Times New Roman"/>
                <w:color w:val="#000000"/>
                <w:sz w:val="24"/>
                <w:szCs w:val="24"/>
              </w:rPr>
              <w:t> 2.	Сущность оценочной деятельности и специфика её правового регулирования. Понятие кадастровой стоимости. Понятие рыночной стоимости недвижимости.</w:t>
            </w:r>
          </w:p>
          <w:p>
            <w:pPr>
              <w:jc w:val="left"/>
              <w:spacing w:after="0" w:line="240" w:lineRule="auto"/>
              <w:rPr>
                <w:sz w:val="24"/>
                <w:szCs w:val="24"/>
              </w:rPr>
            </w:pPr>
            <w:r>
              <w:rPr>
                <w:rFonts w:ascii="Times New Roman" w:hAnsi="Times New Roman" w:cs="Times New Roman"/>
                <w:color w:val="#000000"/>
                <w:sz w:val="24"/>
                <w:szCs w:val="24"/>
              </w:rPr>
              <w:t> 3.	Подходы и методы расчета стоимости объектов недвижимости.</w:t>
            </w:r>
          </w:p>
          <w:p>
            <w:pPr>
              <w:jc w:val="left"/>
              <w:spacing w:after="0" w:line="240" w:lineRule="auto"/>
              <w:rPr>
                <w:sz w:val="24"/>
                <w:szCs w:val="24"/>
              </w:rPr>
            </w:pPr>
            <w:r>
              <w:rPr>
                <w:rFonts w:ascii="Times New Roman" w:hAnsi="Times New Roman" w:cs="Times New Roman"/>
                <w:color w:val="#000000"/>
                <w:sz w:val="24"/>
                <w:szCs w:val="24"/>
              </w:rPr>
              <w:t> 4.	Отличие порядка установления кадастровой стоимости от рыночной стоимости объектов оценки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Правовое обеспечение оценки собственности в Российской Федерации</w:t>
            </w:r>
          </w:p>
        </w:tc>
      </w:tr>
      <w:tr>
        <w:trPr>
          <w:trHeight w:hRule="exact" w:val="21.31518"/>
        </w:trPr>
        <w:tc>
          <w:tcPr>
            <w:tcW w:w="9640" w:type="dxa"/>
          </w:tcPr>
          <w:p/>
        </w:tc>
      </w:tr>
      <w:tr>
        <w:trPr>
          <w:trHeight w:hRule="exact" w:val="2112.8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Система законодательных и подзаконных нормативных актов, регулирующих оценочную деятельность в РФ.</w:t>
            </w:r>
          </w:p>
          <w:p>
            <w:pPr>
              <w:jc w:val="left"/>
              <w:spacing w:after="0" w:line="240" w:lineRule="auto"/>
              <w:rPr>
                <w:sz w:val="24"/>
                <w:szCs w:val="24"/>
              </w:rPr>
            </w:pPr>
            <w:r>
              <w:rPr>
                <w:rFonts w:ascii="Times New Roman" w:hAnsi="Times New Roman" w:cs="Times New Roman"/>
                <w:color w:val="#000000"/>
                <w:sz w:val="24"/>
                <w:szCs w:val="24"/>
              </w:rPr>
              <w:t> 2.	Контроль за осуществлением оценочной деятельности в РФ.</w:t>
            </w:r>
          </w:p>
          <w:p>
            <w:pPr>
              <w:jc w:val="left"/>
              <w:spacing w:after="0" w:line="240" w:lineRule="auto"/>
              <w:rPr>
                <w:sz w:val="24"/>
                <w:szCs w:val="24"/>
              </w:rPr>
            </w:pPr>
            <w:r>
              <w:rPr>
                <w:rFonts w:ascii="Times New Roman" w:hAnsi="Times New Roman" w:cs="Times New Roman"/>
                <w:color w:val="#000000"/>
                <w:sz w:val="24"/>
                <w:szCs w:val="24"/>
              </w:rPr>
              <w:t> 3.	Правовое обеспечение проведения оценочных работ. Требования к осуществлению оценочной деятельности.</w:t>
            </w:r>
          </w:p>
          <w:p>
            <w:pPr>
              <w:jc w:val="left"/>
              <w:spacing w:after="0" w:line="240" w:lineRule="auto"/>
              <w:rPr>
                <w:sz w:val="24"/>
                <w:szCs w:val="24"/>
              </w:rPr>
            </w:pPr>
            <w:r>
              <w:rPr>
                <w:rFonts w:ascii="Times New Roman" w:hAnsi="Times New Roman" w:cs="Times New Roman"/>
                <w:color w:val="#000000"/>
                <w:sz w:val="24"/>
                <w:szCs w:val="24"/>
              </w:rPr>
              <w:t> 4.	Государственно-властное регулирование и контроль в сфере оценочной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Федеральные стандарты оценки</w:t>
            </w:r>
          </w:p>
        </w:tc>
      </w:tr>
      <w:tr>
        <w:trPr>
          <w:trHeight w:hRule="exact" w:val="21.31501"/>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положения федерального стандарта ФСО</w:t>
            </w:r>
          </w:p>
          <w:p>
            <w:pPr>
              <w:jc w:val="left"/>
              <w:spacing w:after="0" w:line="240" w:lineRule="auto"/>
              <w:rPr>
                <w:sz w:val="24"/>
                <w:szCs w:val="24"/>
              </w:rPr>
            </w:pPr>
            <w:r>
              <w:rPr>
                <w:rFonts w:ascii="Times New Roman" w:hAnsi="Times New Roman" w:cs="Times New Roman"/>
                <w:color w:val="#000000"/>
                <w:sz w:val="24"/>
                <w:szCs w:val="24"/>
              </w:rPr>
              <w:t> 2. Общие понятия оценки. Подходы к оценке. Требования к проведению оценки. Основные положения федерального стандарта ФСО</w:t>
            </w:r>
          </w:p>
          <w:p>
            <w:pPr>
              <w:jc w:val="left"/>
              <w:spacing w:after="0" w:line="240" w:lineRule="auto"/>
              <w:rPr>
                <w:sz w:val="24"/>
                <w:szCs w:val="24"/>
              </w:rPr>
            </w:pPr>
            <w:r>
              <w:rPr>
                <w:rFonts w:ascii="Times New Roman" w:hAnsi="Times New Roman" w:cs="Times New Roman"/>
                <w:color w:val="#000000"/>
                <w:sz w:val="24"/>
                <w:szCs w:val="24"/>
              </w:rPr>
              <w:t> 3. Цель оценки и предполагаемое использование результатов оценки. Виды стоимости. Основные положения федерального стандарта ФСО</w:t>
            </w:r>
          </w:p>
          <w:p>
            <w:pPr>
              <w:jc w:val="left"/>
              <w:spacing w:after="0" w:line="240" w:lineRule="auto"/>
              <w:rPr>
                <w:sz w:val="24"/>
                <w:szCs w:val="24"/>
              </w:rPr>
            </w:pPr>
            <w:r>
              <w:rPr>
                <w:rFonts w:ascii="Times New Roman" w:hAnsi="Times New Roman" w:cs="Times New Roman"/>
                <w:color w:val="#000000"/>
                <w:sz w:val="24"/>
                <w:szCs w:val="24"/>
              </w:rPr>
              <w:t> 4. Требования к составлению отчета об оценке. Требования к содержанию отчета об оценке. Требования к описанию в отчете об оценке информации, используемой при проведении оценки. Основные положения федерального стандарта ФСО</w:t>
            </w:r>
          </w:p>
          <w:p>
            <w:pPr>
              <w:jc w:val="left"/>
              <w:spacing w:after="0" w:line="240" w:lineRule="auto"/>
              <w:rPr>
                <w:sz w:val="24"/>
                <w:szCs w:val="24"/>
              </w:rPr>
            </w:pPr>
            <w:r>
              <w:rPr>
                <w:rFonts w:ascii="Times New Roman" w:hAnsi="Times New Roman" w:cs="Times New Roman"/>
                <w:color w:val="#000000"/>
                <w:sz w:val="24"/>
                <w:szCs w:val="24"/>
              </w:rPr>
              <w:t> 5. Общие требования к определению кадастровой стоимости. Сбор сведений о значениях ценообразующих факторов и рыночной информации. Группировка объектов оценки. Построение моделей оценки. Порядок расчета кадастровой стоимости объектов оценки. Основные положения федерального стандарта ФСО</w:t>
            </w:r>
          </w:p>
          <w:p>
            <w:pPr>
              <w:jc w:val="left"/>
              <w:spacing w:after="0" w:line="240" w:lineRule="auto"/>
              <w:rPr>
                <w:sz w:val="24"/>
                <w:szCs w:val="24"/>
              </w:rPr>
            </w:pPr>
            <w:r>
              <w:rPr>
                <w:rFonts w:ascii="Times New Roman" w:hAnsi="Times New Roman" w:cs="Times New Roman"/>
                <w:color w:val="#000000"/>
                <w:sz w:val="24"/>
                <w:szCs w:val="24"/>
              </w:rPr>
              <w:t> 6. Виды экспертизы и отчета об оценке. Порядок проведения экспертизы. Требования к экспертному заключению, Требования к порядку утверждения экспертного заключения. Основные положения федерального стандарта ФСО</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Система правового обеспечения оценщиков</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Права, обязанности, независимость оценщиков оценочной.</w:t>
            </w:r>
          </w:p>
          <w:p>
            <w:pPr>
              <w:jc w:val="left"/>
              <w:spacing w:after="0" w:line="240" w:lineRule="auto"/>
              <w:rPr>
                <w:sz w:val="24"/>
                <w:szCs w:val="24"/>
              </w:rPr>
            </w:pPr>
            <w:r>
              <w:rPr>
                <w:rFonts w:ascii="Times New Roman" w:hAnsi="Times New Roman" w:cs="Times New Roman"/>
                <w:color w:val="#000000"/>
                <w:sz w:val="24"/>
                <w:szCs w:val="24"/>
              </w:rPr>
              <w:t> 2.	Документальное оформление оценочной деятельности. Этапы оценки.</w:t>
            </w:r>
          </w:p>
          <w:p>
            <w:pPr>
              <w:jc w:val="left"/>
              <w:spacing w:after="0" w:line="240" w:lineRule="auto"/>
              <w:rPr>
                <w:sz w:val="24"/>
                <w:szCs w:val="24"/>
              </w:rPr>
            </w:pPr>
            <w:r>
              <w:rPr>
                <w:rFonts w:ascii="Times New Roman" w:hAnsi="Times New Roman" w:cs="Times New Roman"/>
                <w:color w:val="#000000"/>
                <w:sz w:val="24"/>
                <w:szCs w:val="24"/>
              </w:rPr>
              <w:t> 3.	Обязательность проведения оценки в установленных законодательством случаях.</w:t>
            </w:r>
          </w:p>
          <w:p>
            <w:pPr>
              <w:jc w:val="left"/>
              <w:spacing w:after="0" w:line="240" w:lineRule="auto"/>
              <w:rPr>
                <w:sz w:val="24"/>
                <w:szCs w:val="24"/>
              </w:rPr>
            </w:pPr>
            <w:r>
              <w:rPr>
                <w:rFonts w:ascii="Times New Roman" w:hAnsi="Times New Roman" w:cs="Times New Roman"/>
                <w:color w:val="#000000"/>
                <w:sz w:val="24"/>
                <w:szCs w:val="24"/>
              </w:rPr>
              <w:t> 4.	Правовой режим различных целей оценки.</w:t>
            </w:r>
          </w:p>
          <w:p>
            <w:pPr>
              <w:jc w:val="left"/>
              <w:spacing w:after="0" w:line="240" w:lineRule="auto"/>
              <w:rPr>
                <w:sz w:val="24"/>
                <w:szCs w:val="24"/>
              </w:rPr>
            </w:pPr>
            <w:r>
              <w:rPr>
                <w:rFonts w:ascii="Times New Roman" w:hAnsi="Times New Roman" w:cs="Times New Roman"/>
                <w:color w:val="#000000"/>
                <w:sz w:val="24"/>
                <w:szCs w:val="24"/>
              </w:rPr>
              <w:t> 5.	Регулирование деятельности оценщика саморегулируемыми организациями оценщиков.</w:t>
            </w:r>
          </w:p>
          <w:p>
            <w:pPr>
              <w:jc w:val="left"/>
              <w:spacing w:after="0" w:line="240" w:lineRule="auto"/>
              <w:rPr>
                <w:sz w:val="24"/>
                <w:szCs w:val="24"/>
              </w:rPr>
            </w:pPr>
            <w:r>
              <w:rPr>
                <w:rFonts w:ascii="Times New Roman" w:hAnsi="Times New Roman" w:cs="Times New Roman"/>
                <w:color w:val="#000000"/>
                <w:sz w:val="24"/>
                <w:szCs w:val="24"/>
              </w:rPr>
              <w:t> 6.	Практика проведения переговоров и заключения договоров на проведение оценочных работ.</w:t>
            </w:r>
          </w:p>
          <w:p>
            <w:pPr>
              <w:jc w:val="left"/>
              <w:spacing w:after="0" w:line="240" w:lineRule="auto"/>
              <w:rPr>
                <w:sz w:val="24"/>
                <w:szCs w:val="24"/>
              </w:rPr>
            </w:pPr>
            <w:r>
              <w:rPr>
                <w:rFonts w:ascii="Times New Roman" w:hAnsi="Times New Roman" w:cs="Times New Roman"/>
                <w:color w:val="#000000"/>
                <w:sz w:val="24"/>
                <w:szCs w:val="24"/>
              </w:rPr>
              <w:t> 7.	 Критерии уровня знаний эксперта саморегулируемой организации оценщиков (СРОО). Требования к уровню знаний эксперта СРОО.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Условия заключения и исполнения договоров об оценке</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Договорные отношения в оценочной деятельности.</w:t>
            </w:r>
          </w:p>
          <w:p>
            <w:pPr>
              <w:jc w:val="left"/>
              <w:spacing w:after="0" w:line="240" w:lineRule="auto"/>
              <w:rPr>
                <w:sz w:val="24"/>
                <w:szCs w:val="24"/>
              </w:rPr>
            </w:pPr>
            <w:r>
              <w:rPr>
                <w:rFonts w:ascii="Times New Roman" w:hAnsi="Times New Roman" w:cs="Times New Roman"/>
                <w:color w:val="#000000"/>
                <w:sz w:val="24"/>
                <w:szCs w:val="24"/>
              </w:rPr>
              <w:t> 2. Обязательные условия заключения и исполнения договора об оценке.</w:t>
            </w:r>
          </w:p>
          <w:p>
            <w:pPr>
              <w:jc w:val="left"/>
              <w:spacing w:after="0" w:line="240" w:lineRule="auto"/>
              <w:rPr>
                <w:sz w:val="24"/>
                <w:szCs w:val="24"/>
              </w:rPr>
            </w:pPr>
            <w:r>
              <w:rPr>
                <w:rFonts w:ascii="Times New Roman" w:hAnsi="Times New Roman" w:cs="Times New Roman"/>
                <w:color w:val="#000000"/>
                <w:sz w:val="24"/>
                <w:szCs w:val="24"/>
              </w:rPr>
              <w:t> 3. Права и обязанности сторон. Конфликт интересов.</w:t>
            </w:r>
          </w:p>
          <w:p>
            <w:pPr>
              <w:jc w:val="left"/>
              <w:spacing w:after="0" w:line="240" w:lineRule="auto"/>
              <w:rPr>
                <w:sz w:val="24"/>
                <w:szCs w:val="24"/>
              </w:rPr>
            </w:pPr>
            <w:r>
              <w:rPr>
                <w:rFonts w:ascii="Times New Roman" w:hAnsi="Times New Roman" w:cs="Times New Roman"/>
                <w:color w:val="#000000"/>
                <w:sz w:val="24"/>
                <w:szCs w:val="24"/>
              </w:rPr>
              <w:t> 4. Страхование гражданской ответственности.</w:t>
            </w:r>
          </w:p>
          <w:p>
            <w:pPr>
              <w:jc w:val="left"/>
              <w:spacing w:after="0" w:line="240" w:lineRule="auto"/>
              <w:rPr>
                <w:sz w:val="24"/>
                <w:szCs w:val="24"/>
              </w:rPr>
            </w:pPr>
            <w:r>
              <w:rPr>
                <w:rFonts w:ascii="Times New Roman" w:hAnsi="Times New Roman" w:cs="Times New Roman"/>
                <w:color w:val="#000000"/>
                <w:sz w:val="24"/>
                <w:szCs w:val="24"/>
              </w:rPr>
              <w:t> 5. Основные требования к формированию отчета об оценке. Структура отчета. Основные разделы отчета.</w:t>
            </w:r>
          </w:p>
          <w:p>
            <w:pPr>
              <w:jc w:val="left"/>
              <w:spacing w:after="0" w:line="240" w:lineRule="auto"/>
              <w:rPr>
                <w:sz w:val="24"/>
                <w:szCs w:val="24"/>
              </w:rPr>
            </w:pPr>
            <w:r>
              <w:rPr>
                <w:rFonts w:ascii="Times New Roman" w:hAnsi="Times New Roman" w:cs="Times New Roman"/>
                <w:color w:val="#000000"/>
                <w:sz w:val="24"/>
                <w:szCs w:val="24"/>
              </w:rPr>
              <w:t> 6. Отчеты для специальных целей. Способы согласования весов, присваиваемых различными подходами.</w:t>
            </w:r>
          </w:p>
          <w:p>
            <w:pPr>
              <w:jc w:val="left"/>
              <w:spacing w:after="0" w:line="240" w:lineRule="auto"/>
              <w:rPr>
                <w:sz w:val="24"/>
                <w:szCs w:val="24"/>
              </w:rPr>
            </w:pPr>
            <w:r>
              <w:rPr>
                <w:rFonts w:ascii="Times New Roman" w:hAnsi="Times New Roman" w:cs="Times New Roman"/>
                <w:color w:val="#000000"/>
                <w:sz w:val="24"/>
                <w:szCs w:val="24"/>
              </w:rPr>
              <w:t> 7. Выводы итоговой величины стоимости.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«Правовое обеспечение в сфере оценочной деятельности» / Сергиенко О.В..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кадастровой</w:t>
            </w:r>
            <w:r>
              <w:rPr/>
              <w:t xml:space="preserve"> </w:t>
            </w:r>
            <w:r>
              <w:rPr>
                <w:rFonts w:ascii="Times New Roman" w:hAnsi="Times New Roman" w:cs="Times New Roman"/>
                <w:color w:val="#000000"/>
                <w:sz w:val="24"/>
                <w:szCs w:val="24"/>
              </w:rPr>
              <w:t>оценки</w:t>
            </w:r>
            <w:r>
              <w:rPr/>
              <w:t xml:space="preserve"> </w:t>
            </w:r>
            <w:r>
              <w:rPr>
                <w:rFonts w:ascii="Times New Roman" w:hAnsi="Times New Roman" w:cs="Times New Roman"/>
                <w:color w:val="#000000"/>
                <w:sz w:val="24"/>
                <w:szCs w:val="24"/>
              </w:rPr>
              <w:t>недвижимости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Пылаева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978-5-534-12820-8.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https://urait.ru/bcode/448353</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активов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Федотова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Землянский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https://urait.ru/bcode/474651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978-5-534-08022-3.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https://urait.ru/bcode/469764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приложение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Касьяненко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https://urait.ru/bcode/450095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02.9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2022-2023_ФГОС3++2022_Бак-ЗФО-Э(БАиОСИ)(22)_plx_Правовое обеспечение в сфере оценочной деятельности</dc:title>
  <dc:creator>FastReport.NET</dc:creator>
</cp:coreProperties>
</file>